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32" w:rsidRPr="005D0A32" w:rsidRDefault="005D0A32" w:rsidP="005D0A32">
      <w:pPr>
        <w:jc w:val="right"/>
        <w:rPr>
          <w:i/>
          <w:iCs/>
        </w:rPr>
      </w:pPr>
      <w:bookmarkStart w:id="0" w:name="_GoBack"/>
      <w:bookmarkEnd w:id="0"/>
      <w:r w:rsidRPr="005D0A32">
        <w:rPr>
          <w:b/>
          <w:bCs/>
        </w:rPr>
        <w:t xml:space="preserve">ALLEGATO </w:t>
      </w:r>
      <w:r w:rsidR="007267DA">
        <w:rPr>
          <w:b/>
          <w:bCs/>
        </w:rPr>
        <w:t>3</w:t>
      </w:r>
      <w:r w:rsidR="00CC3268">
        <w:rPr>
          <w:b/>
          <w:bCs/>
        </w:rPr>
        <w:t>B</w:t>
      </w:r>
      <w:r w:rsidRPr="005D0A32">
        <w:rPr>
          <w:b/>
          <w:bCs/>
        </w:rPr>
        <w:t xml:space="preserve"> </w:t>
      </w:r>
      <w:r w:rsidRPr="005D0A32">
        <w:rPr>
          <w:i/>
          <w:iCs/>
        </w:rPr>
        <w:t>al Capitolato Tecnico</w:t>
      </w:r>
    </w:p>
    <w:p w:rsidR="005D0A32" w:rsidRDefault="005D0A32" w:rsidP="005D0A32">
      <w:pPr>
        <w:rPr>
          <w:rFonts w:ascii="Arial" w:hAnsi="Arial" w:cs="Arial"/>
          <w:b/>
          <w:spacing w:val="-1"/>
          <w:sz w:val="18"/>
        </w:rPr>
      </w:pPr>
      <w:r>
        <w:rPr>
          <w:rFonts w:ascii="Arial" w:hAnsi="Arial" w:cs="Arial"/>
          <w:b/>
          <w:spacing w:val="-1"/>
          <w:sz w:val="18"/>
        </w:rPr>
        <w:t xml:space="preserve">PROCEDURA APERTA </w:t>
      </w:r>
      <w:r w:rsidRPr="00444D2B">
        <w:rPr>
          <w:rFonts w:ascii="Arial" w:hAnsi="Arial" w:cs="Arial"/>
          <w:b/>
          <w:spacing w:val="-1"/>
          <w:sz w:val="18"/>
        </w:rPr>
        <w:t>EX ART. 60 D.LGS 50/2016 AFFIDAMENTO SERVIZIO NOLEGGIO APPARECCHI PER LITOTRISSIA EXTRACORPOREA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5211"/>
        <w:gridCol w:w="4643"/>
      </w:tblGrid>
      <w:tr w:rsidR="007B6A7B" w:rsidTr="00B02F3F">
        <w:tc>
          <w:tcPr>
            <w:tcW w:w="9854" w:type="dxa"/>
            <w:gridSpan w:val="2"/>
            <w:shd w:val="clear" w:color="auto" w:fill="C6D9F1" w:themeFill="text2" w:themeFillTint="33"/>
          </w:tcPr>
          <w:p w:rsidR="007B6A7B" w:rsidRPr="005D0A32" w:rsidRDefault="007B6A7B" w:rsidP="007267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LOTTO </w:t>
            </w:r>
            <w:r w:rsidR="007267DA">
              <w:rPr>
                <w:b/>
                <w:bCs/>
              </w:rPr>
              <w:t>___</w:t>
            </w:r>
            <w:r>
              <w:rPr>
                <w:b/>
                <w:bCs/>
              </w:rPr>
              <w:t xml:space="preserve"> - ASL </w:t>
            </w:r>
            <w:r w:rsidR="007267DA">
              <w:rPr>
                <w:b/>
                <w:bCs/>
              </w:rPr>
              <w:t>____</w:t>
            </w:r>
          </w:p>
        </w:tc>
      </w:tr>
      <w:tr w:rsidR="00E8417B" w:rsidTr="00CC3268">
        <w:tc>
          <w:tcPr>
            <w:tcW w:w="5211" w:type="dxa"/>
          </w:tcPr>
          <w:p w:rsidR="00E8417B" w:rsidRPr="005D0A32" w:rsidRDefault="00E8417B" w:rsidP="00D025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CARATTERISTICHE MINIME A PENA ESCLUSIONE</w:t>
            </w:r>
          </w:p>
        </w:tc>
        <w:tc>
          <w:tcPr>
            <w:tcW w:w="4643" w:type="dxa"/>
          </w:tcPr>
          <w:p w:rsidR="00E8417B" w:rsidRDefault="00E8417B" w:rsidP="00D025B9">
            <w:pPr>
              <w:jc w:val="center"/>
              <w:rPr>
                <w:b/>
                <w:bCs/>
              </w:rPr>
            </w:pPr>
            <w:r w:rsidRPr="005D0A32">
              <w:rPr>
                <w:b/>
                <w:bCs/>
              </w:rPr>
              <w:t>CARATTERISTICA PROPOSTA DALL'OFFERENTE</w:t>
            </w:r>
          </w:p>
        </w:tc>
      </w:tr>
      <w:tr w:rsidR="00E8417B" w:rsidTr="00CC3268">
        <w:trPr>
          <w:trHeight w:val="1207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Generatore di onde d'urto elettromagnetico</w:t>
            </w:r>
          </w:p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o piezoelettrico o altra tecnologia di ultima generazione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125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Il generatore non necessita di materiale di consumo e/o interruzioni dei trattamenti per modifiche sullo strumento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126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In grado di trattare la calcolosi di tutto l'apparato urinario (compresi pazienti pediatrici, crit</w:t>
            </w:r>
            <w:r w:rsidR="00CC3268">
              <w:rPr>
                <w:bCs/>
              </w:rPr>
              <w:t>i</w:t>
            </w:r>
            <w:r w:rsidRPr="005D0A32">
              <w:rPr>
                <w:bCs/>
              </w:rPr>
              <w:t>ci, o trapiantati), IPP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987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I trattamenti devono poter avvenire senza impiego di anestesia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973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Sistema di doppio puntamento ecografico e radiologico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000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Puntamento ecografico e radiologico utilizzabili contemporaneamente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Puntamento ecografico "inline", ovvero la sorgente d'onde d'urto e la sonda ecografica devono essere</w:t>
            </w:r>
          </w:p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coassiali, detto puntamento deve essere continuo durante tutto il trattamento in modo da poter correggere</w:t>
            </w:r>
          </w:p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repentinamente la mira nell'eventualità si spostasse il target.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107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Pressione focale massima non inferiore a 50 Mpa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825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Energia regolabile su un minimo di 9 livelli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849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Elevata frequenza di erogazione della terapia, non inferiore a 3Hz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133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Profondità focale non inferiore a 15 cm, misurata dal centro del fuoco al piano passante per il bordo della testa terapeutica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966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lastRenderedPageBreak/>
              <w:t>Superficie di accoppiamento membrana/paziente non inferiore a 100 cmq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  <w:tr w:rsidR="00E8417B" w:rsidTr="00CC3268">
        <w:trPr>
          <w:trHeight w:val="1830"/>
        </w:trPr>
        <w:tc>
          <w:tcPr>
            <w:tcW w:w="5211" w:type="dxa"/>
          </w:tcPr>
          <w:p w:rsidR="00E8417B" w:rsidRPr="005D0A32" w:rsidRDefault="00E8417B" w:rsidP="00D025B9">
            <w:pPr>
              <w:rPr>
                <w:bCs/>
              </w:rPr>
            </w:pPr>
            <w:r w:rsidRPr="005D0A32">
              <w:rPr>
                <w:bCs/>
              </w:rPr>
              <w:t>Lettino portapaziente con movimentazione lungo i tre assi e dotato di sistema di sicurezza paziente con inclinazione Trendelenburg con eventuali accessori per la stabilizzazione del paziente.</w:t>
            </w:r>
          </w:p>
        </w:tc>
        <w:tc>
          <w:tcPr>
            <w:tcW w:w="4643" w:type="dxa"/>
          </w:tcPr>
          <w:p w:rsidR="00E8417B" w:rsidRDefault="00E8417B" w:rsidP="00D025B9">
            <w:pPr>
              <w:rPr>
                <w:b/>
                <w:bCs/>
              </w:rPr>
            </w:pPr>
          </w:p>
        </w:tc>
      </w:tr>
    </w:tbl>
    <w:p w:rsidR="005D0A32" w:rsidRPr="005D0A32" w:rsidRDefault="005D0A32" w:rsidP="005D0A32">
      <w:pPr>
        <w:rPr>
          <w:b/>
          <w:bCs/>
        </w:rPr>
      </w:pPr>
    </w:p>
    <w:sectPr w:rsidR="005D0A32" w:rsidRPr="005D0A32" w:rsidSect="005156D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0C" w:rsidRDefault="00140C0C" w:rsidP="009303B7">
      <w:pPr>
        <w:spacing w:after="0" w:line="240" w:lineRule="auto"/>
      </w:pPr>
      <w:r>
        <w:separator/>
      </w:r>
    </w:p>
  </w:endnote>
  <w:endnote w:type="continuationSeparator" w:id="0">
    <w:p w:rsidR="00140C0C" w:rsidRDefault="00140C0C" w:rsidP="0093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2" w:rsidRDefault="00495101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1312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9983470</wp:posOffset>
              </wp:positionV>
              <wp:extent cx="2899410" cy="734695"/>
              <wp:effectExtent l="0" t="127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9410" cy="734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Dipartimento Gestione Accentrata Acquisti e Logistica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S.C. Acquisti Servizi Sanitari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04.3pt;margin-top:786.1pt;width:228.3pt;height:57.8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" stroked="f">
              <v:textbox inset=".35pt,.35pt,.35pt,.35pt">
                <w:txbxContent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Dipartimento Gestione Accentrata Acquisti e Logistica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S.C. Acquisti Servizi Sanitari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9954895</wp:posOffset>
              </wp:positionV>
              <wp:extent cx="1301115" cy="734695"/>
              <wp:effectExtent l="0" t="127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734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b/>
                              <w:color w:val="FF0000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ARES Sardegna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Sede Legale</w:t>
                          </w:r>
                        </w:p>
                        <w:p w:rsidR="002A3F32" w:rsidRPr="002A3F32" w:rsidRDefault="002A3F32" w:rsidP="002A3F32">
                          <w:pPr>
                            <w:widowControl w:val="0"/>
                            <w:suppressAutoHyphens/>
                            <w:spacing w:after="0" w:line="184" w:lineRule="exact"/>
                            <w:ind w:left="20"/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</w:pPr>
                          <w:r w:rsidRPr="002A3F32">
                            <w:rPr>
                              <w:rFonts w:ascii="Arial" w:eastAsia="Calibri" w:hAnsi="Arial" w:cs="Arial"/>
                              <w:spacing w:val="-1"/>
                              <w:kern w:val="2"/>
                              <w:sz w:val="16"/>
                              <w:lang w:eastAsia="zh-CN"/>
                            </w:rPr>
                            <w:t>Via Piero della Francesca 1 CAP 09047 Città Selargius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85.4pt;margin-top:783.85pt;width:102.45pt;height:57.8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" stroked="f">
              <v:textbox inset=".35pt,.35pt,.35pt,.35pt">
                <w:txbxContent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b/>
                        <w:color w:val="FF0000"/>
                        <w:spacing w:val="-1"/>
                        <w:kern w:val="2"/>
                        <w:sz w:val="16"/>
                        <w:lang w:eastAsia="zh-CN"/>
                      </w:rPr>
                      <w:t>ARES Sardegna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  <w:t>Sede Legale</w:t>
                    </w:r>
                  </w:p>
                  <w:p w:rsidR="002A3F32" w:rsidRPr="002A3F32" w:rsidRDefault="002A3F32" w:rsidP="002A3F32">
                    <w:pPr>
                      <w:widowControl w:val="0"/>
                      <w:suppressAutoHyphens/>
                      <w:spacing w:after="0" w:line="184" w:lineRule="exact"/>
                      <w:ind w:left="20"/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</w:pPr>
                    <w:r w:rsidRPr="002A3F32">
                      <w:rPr>
                        <w:rFonts w:ascii="Arial" w:eastAsia="Calibri" w:hAnsi="Arial" w:cs="Arial"/>
                        <w:spacing w:val="-1"/>
                        <w:kern w:val="2"/>
                        <w:sz w:val="16"/>
                        <w:lang w:eastAsia="zh-CN"/>
                      </w:rPr>
                      <w:t>Via Piero della Francesca 1 CAP 09047 Città Selargius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A3F32">
      <w:rPr>
        <w:noProof/>
        <w:lang w:eastAsia="it-IT"/>
      </w:rPr>
      <w:drawing>
        <wp:anchor distT="0" distB="0" distL="114935" distR="114935" simplePos="0" relativeHeight="251662336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9877425</wp:posOffset>
          </wp:positionV>
          <wp:extent cx="6686550" cy="95250"/>
          <wp:effectExtent l="1905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949" r="-20" b="-1949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52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A3F32" w:rsidRDefault="002A3F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0C" w:rsidRDefault="00140C0C" w:rsidP="009303B7">
      <w:pPr>
        <w:spacing w:after="0" w:line="240" w:lineRule="auto"/>
      </w:pPr>
      <w:r>
        <w:separator/>
      </w:r>
    </w:p>
  </w:footnote>
  <w:footnote w:type="continuationSeparator" w:id="0">
    <w:p w:rsidR="00140C0C" w:rsidRDefault="00140C0C" w:rsidP="0093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B7" w:rsidRDefault="00495101" w:rsidP="009303B7">
    <w:pPr>
      <w:pStyle w:val="Intestazione"/>
      <w:tabs>
        <w:tab w:val="clear" w:pos="4819"/>
        <w:tab w:val="clear" w:pos="9638"/>
        <w:tab w:val="left" w:pos="6375"/>
      </w:tabs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page">
                <wp:posOffset>3933825</wp:posOffset>
              </wp:positionH>
              <wp:positionV relativeFrom="page">
                <wp:posOffset>295275</wp:posOffset>
              </wp:positionV>
              <wp:extent cx="3419475" cy="48577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94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3B7" w:rsidRPr="00401069" w:rsidRDefault="009303B7" w:rsidP="009303B7">
                          <w:pPr>
                            <w:spacing w:line="204" w:lineRule="exact"/>
                            <w:ind w:left="20"/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Dipartimento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Gestione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Accentrata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Acquisti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Logistica</w:t>
                          </w:r>
                        </w:p>
                        <w:p w:rsidR="009303B7" w:rsidRDefault="009303B7" w:rsidP="009303B7">
                          <w:pPr>
                            <w:spacing w:before="11"/>
                            <w:ind w:left="1376"/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S.C.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0"/>
                              <w:sz w:val="18"/>
                            </w:rPr>
                            <w:t xml:space="preserve"> Acquisti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pacing w:val="-1"/>
                              <w:sz w:val="18"/>
                            </w:rPr>
                            <w:t>Servizi Sanitari</w:t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9.75pt;margin-top:23.25pt;width:269.25pt;height:38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" stroked="f">
              <v:fill opacity="0"/>
              <v:textbox inset=".35pt,.35pt,.35pt,.35pt">
                <w:txbxContent>
                  <w:p w:rsidR="009303B7" w:rsidRPr="00401069" w:rsidRDefault="009303B7" w:rsidP="009303B7">
                    <w:pPr>
                      <w:spacing w:line="204" w:lineRule="exact"/>
                      <w:ind w:left="20"/>
                    </w:pP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Dipartimento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Gestione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Accentrata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Acquisti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18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Logistica</w:t>
                    </w:r>
                  </w:p>
                  <w:p w:rsidR="009303B7" w:rsidRDefault="009303B7" w:rsidP="009303B7">
                    <w:pPr>
                      <w:spacing w:before="11"/>
                      <w:ind w:left="1376"/>
                    </w:pP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S.C.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0"/>
                        <w:sz w:val="18"/>
                      </w:rPr>
                      <w:t xml:space="preserve"> Acquisti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pacing w:val="-1"/>
                        <w:sz w:val="18"/>
                      </w:rPr>
                      <w:t>Servizi Sanitari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303B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-481965</wp:posOffset>
          </wp:positionH>
          <wp:positionV relativeFrom="paragraph">
            <wp:posOffset>-306705</wp:posOffset>
          </wp:positionV>
          <wp:extent cx="2133600" cy="533400"/>
          <wp:effectExtent l="0" t="0" r="0" b="0"/>
          <wp:wrapNone/>
          <wp:docPr id="1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303B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32"/>
    <w:rsid w:val="000743AD"/>
    <w:rsid w:val="00086DC1"/>
    <w:rsid w:val="000A7E2E"/>
    <w:rsid w:val="00140C0C"/>
    <w:rsid w:val="0023543C"/>
    <w:rsid w:val="00242691"/>
    <w:rsid w:val="002A3F32"/>
    <w:rsid w:val="00410A64"/>
    <w:rsid w:val="00495101"/>
    <w:rsid w:val="005156DF"/>
    <w:rsid w:val="00572CFD"/>
    <w:rsid w:val="005D0A32"/>
    <w:rsid w:val="007267DA"/>
    <w:rsid w:val="007B6A7B"/>
    <w:rsid w:val="00820117"/>
    <w:rsid w:val="008F069D"/>
    <w:rsid w:val="009303B7"/>
    <w:rsid w:val="00B02F3F"/>
    <w:rsid w:val="00CC3268"/>
    <w:rsid w:val="00D91551"/>
    <w:rsid w:val="00E8417B"/>
    <w:rsid w:val="00E925C7"/>
    <w:rsid w:val="00EC5363"/>
    <w:rsid w:val="00FE7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93DC24-77AE-4A06-97D0-00B9C138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6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0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303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03B7"/>
  </w:style>
  <w:style w:type="paragraph" w:styleId="Pidipagina">
    <w:name w:val="footer"/>
    <w:basedOn w:val="Normale"/>
    <w:link w:val="PidipaginaCarattere"/>
    <w:uiPriority w:val="99"/>
    <w:unhideWhenUsed/>
    <w:rsid w:val="009303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3B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269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269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269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425E-AE65-48FA-8446-0B2B50F4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</cp:lastModifiedBy>
  <cp:revision>2</cp:revision>
  <dcterms:created xsi:type="dcterms:W3CDTF">2022-07-25T07:10:00Z</dcterms:created>
  <dcterms:modified xsi:type="dcterms:W3CDTF">2022-07-25T07:10:00Z</dcterms:modified>
</cp:coreProperties>
</file>